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E17" w:rsidRPr="003C24F4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C254BB">
        <w:rPr>
          <w:b/>
        </w:rPr>
        <w:t>6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6"/>
      </w:tblGrid>
      <w:tr w:rsidR="00162E17" w:rsidRPr="00162E17" w:rsidTr="006C72CD">
        <w:tc>
          <w:tcPr>
            <w:tcW w:w="9072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62E17" w:rsidRPr="00162E17" w:rsidRDefault="00162E17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10819" w:rsidRPr="000605EE" w:rsidTr="006C72CD">
        <w:tc>
          <w:tcPr>
            <w:tcW w:w="907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0819" w:rsidRPr="0047284E" w:rsidRDefault="004728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910819" w:rsidRPr="0047284E" w:rsidRDefault="004728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910819" w:rsidRDefault="00910819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40"/>
            </w:tblGrid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91081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605EE">
                    <w:t> </w:t>
                  </w:r>
                  <w:r w:rsidR="00B64DC9"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За коя от изброените области проектът допринася в най-голяма степен?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Моля, отбележете само една област с поставен акцент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"/>
                    <w:gridCol w:w="8146"/>
                    <w:gridCol w:w="417"/>
                  </w:tblGrid>
                  <w:tr w:rsidR="00B64DC9" w:rsidTr="009C6CB2">
                    <w:tc>
                      <w:tcPr>
                        <w:tcW w:w="9345" w:type="dxa"/>
                        <w:gridSpan w:val="3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Области с поставен акцент (за които в най-голяма степен допринасят проектите) 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1А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иновациите, сътрудничеството и развитието на базата от знания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Поощряване на ученето през целия живот и професионалното обучение в секторите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управлението на водите, включително управлението на торовете и пестицидите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вода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енергия в селското стопанство и хранително-вкусовата промишленост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съхраняването и поглъщането на въглерода в сектора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разнообразяването, създаването и развитието на малки предприятия, както и разкриването на работни места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местното развитие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достъпа до информационни и комуникационни технологии (ИКТ), използването и качеството им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51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FA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Друга област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2. Какъв е видът на кандидата?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18"/>
                    <w:gridCol w:w="446"/>
                  </w:tblGrid>
                  <w:tr w:rsidR="00B64DC9" w:rsidTr="009C6CB2">
                    <w:tc>
                      <w:tcPr>
                        <w:tcW w:w="9345" w:type="dxa"/>
                        <w:gridSpan w:val="2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Вид на кандидата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МИГ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НПО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Публичен орган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Малко или средно предприятие 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Микропредприятие 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(моля, отбележете и юридическата форма)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Физическо лице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ЕТ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Лице, регистрирано по ТЗ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89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Друго (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моля, отбележете, ако е приложимо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3. Планира ли се създаване на работни места в резултат от изпълнението на проекта?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При отговор ДА, моля, попълнете таблицата, като имате предвид следното:</w:t>
                  </w:r>
                </w:p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1. Отчитат се данните само за новосъздадени работни места;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7"/>
                    <w:gridCol w:w="1045"/>
                    <w:gridCol w:w="972"/>
                  </w:tblGrid>
                  <w:tr w:rsidR="00B64DC9" w:rsidTr="009C6CB2">
                    <w:tc>
                      <w:tcPr>
                        <w:tcW w:w="7305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работни места</w:t>
                        </w:r>
                      </w:p>
                    </w:tc>
                  </w:tr>
                  <w:tr w:rsidR="00B64DC9" w:rsidTr="009C6CB2"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мъже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жени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30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Работни места, които ще бъдат разкрити в резултат от подпомагане на проекта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4. Какъв е броят на жителите, които ще се ползват от подобрени услуги/инфраструктура в резултат от изпълнението на проекта?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(Когато е приложимо)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9"/>
                    <w:gridCol w:w="1995"/>
                  </w:tblGrid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ИТ услуги/ инфраструктура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7290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услуги/ инфраструктура, различни от тези, свързани с ИТ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5. Моля, попълнете таблицата на местата, приложими за Вашия проект.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"/>
                    <w:gridCol w:w="110"/>
                    <w:gridCol w:w="2341"/>
                    <w:gridCol w:w="306"/>
                    <w:gridCol w:w="2341"/>
                    <w:gridCol w:w="2684"/>
                    <w:gridCol w:w="1106"/>
                  </w:tblGrid>
                  <w:tr w:rsidR="00B64DC9" w:rsidTr="009C6CB2">
                    <w:tc>
                      <w:tcPr>
                        <w:tcW w:w="2607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Приоритет</w:t>
                        </w:r>
                      </w:p>
                    </w:tc>
                    <w:tc>
                      <w:tcPr>
                        <w:tcW w:w="2627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Област с поставен акцент (за която в най-голяма степен допринася проектът)</w:t>
                        </w:r>
                      </w:p>
                    </w:tc>
                    <w:tc>
                      <w:tcPr>
                        <w:tcW w:w="2664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Стойност/ количество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P2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 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добро организиране на хранителната верига, в т.ч.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3B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Подпомагане на превенцията и управлението на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риска на стопанствата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вода в селското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(Отнася се за площ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softHyphen/>
                          <w:t>та, обхваната от инвестиции за напояване)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енергия в селското стопанство и хранително-вкусовата промишленост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softHyphen/>
                          <w:t>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B64DC9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Стимулиране на съхраняването и поглъщането на въглерода в сектора на селското и горското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B64DC9" w:rsidTr="009C6CB2">
                    <w:tc>
                      <w:tcPr>
                        <w:tcW w:w="192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92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98" w:type="dxa"/>
                        <w:vAlign w:val="center"/>
                        <w:hideMark/>
                      </w:tcPr>
                      <w:p w:rsidR="00B64DC9" w:rsidRPr="00B059C5" w:rsidRDefault="00B64DC9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 w:rsidR="00B64DC9" w:rsidRPr="00B059C5" w:rsidRDefault="00B64DC9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Подпис на представляващия кандидата:</w:t>
                  </w:r>
                </w:p>
              </w:tc>
            </w:tr>
            <w:tr w:rsidR="00B64DC9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64DC9" w:rsidRPr="00B059C5" w:rsidRDefault="00B64DC9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      </w:r>
                </w:p>
              </w:tc>
            </w:tr>
          </w:tbl>
          <w:p w:rsidR="00B64DC9" w:rsidRDefault="00B64DC9" w:rsidP="00B64DC9"/>
          <w:p w:rsidR="00910819" w:rsidRPr="000605EE" w:rsidRDefault="00910819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</w:tbl>
    <w:p w:rsidR="00162E17" w:rsidRDefault="00162E17"/>
    <w:p w:rsidR="00162E17" w:rsidRDefault="00162E17"/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310" w:rsidRDefault="009D2310" w:rsidP="00162E17">
      <w:pPr>
        <w:spacing w:after="0" w:line="240" w:lineRule="auto"/>
      </w:pPr>
      <w:r>
        <w:separator/>
      </w:r>
    </w:p>
  </w:endnote>
  <w:endnote w:type="continuationSeparator" w:id="0">
    <w:p w:rsidR="009D2310" w:rsidRDefault="009D2310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:rsidR="003C24F4" w:rsidRDefault="003C24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54BB">
          <w:rPr>
            <w:noProof/>
          </w:rPr>
          <w:t>6</w:t>
        </w:r>
        <w:r>
          <w:fldChar w:fldCharType="end"/>
        </w:r>
      </w:p>
    </w:sdtContent>
  </w:sdt>
  <w:p w:rsidR="00162E17" w:rsidRPr="007D31CC" w:rsidRDefault="00162E17" w:rsidP="007D31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310" w:rsidRDefault="009D2310" w:rsidP="00162E17">
      <w:pPr>
        <w:spacing w:after="0" w:line="240" w:lineRule="auto"/>
      </w:pPr>
      <w:r>
        <w:separator/>
      </w:r>
    </w:p>
  </w:footnote>
  <w:footnote w:type="continuationSeparator" w:id="0">
    <w:p w:rsidR="009D2310" w:rsidRDefault="009D2310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160EF3"/>
    <w:rsid w:val="00162E17"/>
    <w:rsid w:val="001958B8"/>
    <w:rsid w:val="001B16A0"/>
    <w:rsid w:val="001B2C7C"/>
    <w:rsid w:val="00205BC5"/>
    <w:rsid w:val="003503B8"/>
    <w:rsid w:val="003C24F4"/>
    <w:rsid w:val="0047284E"/>
    <w:rsid w:val="004A1F8E"/>
    <w:rsid w:val="005952EB"/>
    <w:rsid w:val="005A6064"/>
    <w:rsid w:val="005D7273"/>
    <w:rsid w:val="006813E5"/>
    <w:rsid w:val="006C72CD"/>
    <w:rsid w:val="006D45A0"/>
    <w:rsid w:val="00794B5E"/>
    <w:rsid w:val="007A4B81"/>
    <w:rsid w:val="007B69F6"/>
    <w:rsid w:val="007D31CC"/>
    <w:rsid w:val="00910819"/>
    <w:rsid w:val="00930C16"/>
    <w:rsid w:val="00954970"/>
    <w:rsid w:val="00956551"/>
    <w:rsid w:val="009A1569"/>
    <w:rsid w:val="009A3ED8"/>
    <w:rsid w:val="009D2310"/>
    <w:rsid w:val="00A9069C"/>
    <w:rsid w:val="00B64DC9"/>
    <w:rsid w:val="00C254BB"/>
    <w:rsid w:val="00C33520"/>
    <w:rsid w:val="00C45171"/>
    <w:rsid w:val="00CF7919"/>
    <w:rsid w:val="00D25F09"/>
    <w:rsid w:val="00D93F35"/>
    <w:rsid w:val="00E11DB7"/>
    <w:rsid w:val="00E50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D31CC"/>
    <w:rPr>
      <w:color w:val="0563C1" w:themeColor="hyperlink"/>
      <w:u w:val="single"/>
    </w:rPr>
  </w:style>
  <w:style w:type="paragraph" w:customStyle="1" w:styleId="htleft">
    <w:name w:val="htleft"/>
    <w:basedOn w:val="a"/>
    <w:rsid w:val="00B64DC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customStyle="1" w:styleId="htcenter">
    <w:name w:val="htcenter"/>
    <w:basedOn w:val="a"/>
    <w:rsid w:val="00B64DC9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0BEBBB-F436-4F9C-8F8A-ECACF63D79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1549</Words>
  <Characters>8830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Fujitsu</cp:lastModifiedBy>
  <cp:revision>9</cp:revision>
  <cp:lastPrinted>2017-11-08T12:37:00Z</cp:lastPrinted>
  <dcterms:created xsi:type="dcterms:W3CDTF">2017-11-24T11:06:00Z</dcterms:created>
  <dcterms:modified xsi:type="dcterms:W3CDTF">2019-01-17T12:08:00Z</dcterms:modified>
</cp:coreProperties>
</file>